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97227" w:rsidRDefault="00B344F4"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w:t>
                  </w:r>
                  <w:r w:rsidRPr="00604EAA">
                    <w:rPr>
                      <w:sz w:val="20"/>
                      <w:szCs w:val="20"/>
                    </w:rPr>
                    <w:t xml:space="preserve">бакалавриата), Направленность (профиль) программы «Общий профиль», утв. приказом ректора ОмГА от </w:t>
                  </w:r>
                  <w:r w:rsidR="00604EAA" w:rsidRPr="00604EAA">
                    <w:rPr>
                      <w:sz w:val="20"/>
                      <w:szCs w:val="20"/>
                    </w:rPr>
                    <w:t>28.03.2022 № 28</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 персоналом»</w:t>
      </w:r>
    </w:p>
    <w:p w:rsidR="00463385" w:rsidRPr="00C97227" w:rsidRDefault="00463385" w:rsidP="00463385">
      <w:pPr>
        <w:ind w:right="1"/>
        <w:contextualSpacing/>
        <w:jc w:val="center"/>
        <w:rPr>
          <w:rFonts w:eastAsia="Courier New"/>
          <w:noProof/>
          <w:lang w:bidi="ru-RU"/>
        </w:rPr>
      </w:pPr>
    </w:p>
    <w:p w:rsidR="00463385" w:rsidRPr="00C97227" w:rsidRDefault="00B344F4"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604EAA">
                    <w:t>28</w:t>
                  </w:r>
                  <w:r w:rsidR="00BE4962">
                    <w:t>.0</w:t>
                  </w:r>
                  <w:r w:rsidR="00604EAA">
                    <w:t>3</w:t>
                  </w:r>
                  <w:r w:rsidR="00BE4962">
                    <w:t>.20</w:t>
                  </w:r>
                  <w:r w:rsidR="00604EAA">
                    <w:t>22</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A143F3" w:rsidRPr="00335464" w:rsidRDefault="006773E2" w:rsidP="00A143F3">
      <w:pPr>
        <w:suppressAutoHyphens/>
        <w:jc w:val="center"/>
        <w:rPr>
          <w:rFonts w:eastAsia="SimSun"/>
          <w:kern w:val="2"/>
          <w:lang w:eastAsia="hi-IN" w:bidi="hi-IN"/>
        </w:rPr>
      </w:pPr>
      <w:r>
        <w:rPr>
          <w:rFonts w:eastAsia="SimSun"/>
          <w:color w:val="000000"/>
          <w:kern w:val="2"/>
          <w:lang w:eastAsia="hi-IN" w:bidi="hi-IN"/>
        </w:rPr>
        <w:t>заочной формы обучения 2018/2019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604EAA">
        <w:t>Омск 2022</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Экономики и управления персоналом</w:t>
      </w:r>
    </w:p>
    <w:p w:rsidR="00604EAA" w:rsidRPr="00604EAA" w:rsidRDefault="00604EAA" w:rsidP="00604EAA">
      <w:pPr>
        <w:tabs>
          <w:tab w:val="left" w:pos="0"/>
          <w:tab w:val="left" w:pos="5446"/>
          <w:tab w:val="left" w:pos="6396"/>
        </w:tabs>
        <w:spacing w:after="200"/>
        <w:rPr>
          <w:sz w:val="28"/>
          <w:szCs w:val="28"/>
        </w:rPr>
      </w:pPr>
      <w:r w:rsidRPr="00604EAA">
        <w:rPr>
          <w:sz w:val="28"/>
          <w:szCs w:val="28"/>
        </w:rPr>
        <w:t>Протокол  № 8  от  «25»  марта  2022 г</w:t>
      </w:r>
      <w:r w:rsidRPr="00604EAA">
        <w:rPr>
          <w:sz w:val="28"/>
          <w:szCs w:val="28"/>
        </w:rPr>
        <w:tab/>
      </w:r>
      <w:r w:rsidRPr="00604EAA">
        <w:rPr>
          <w:sz w:val="28"/>
          <w:szCs w:val="28"/>
        </w:rPr>
        <w:tab/>
      </w:r>
      <w:r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С.М. Ильченко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firstRow="1" w:lastRow="0" w:firstColumn="1" w:lastColumn="0" w:noHBand="0" w:noVBand="1"/>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государственной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образовании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локальными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Академия;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форма обучения – заочная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lastRenderedPageBreak/>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академической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Российской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час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закрытой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комиссий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уровне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государственной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профиля)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 xml:space="preserve">по направлению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выпускников</w:t>
      </w:r>
      <w:r w:rsidRPr="00C97227">
        <w:t xml:space="preserve"> </w:t>
      </w:r>
      <w:r w:rsidR="004C3EF3" w:rsidRPr="00C97227">
        <w:t xml:space="preserve">общекультурных, общепрофессиональных, профессиональных и дополнительных профессиональных </w:t>
      </w:r>
      <w:r w:rsidRPr="00C97227">
        <w:t>компетенций</w:t>
      </w:r>
      <w:r w:rsidR="004C3EF3" w:rsidRPr="00C97227">
        <w:t xml:space="preserve"> на завершающем этапе освоения основной </w:t>
      </w:r>
      <w:r w:rsidR="004C3EF3" w:rsidRPr="00C97227">
        <w:lastRenderedPageBreak/>
        <w:t xml:space="preserve">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осударственной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 xml:space="preserve">по результатам прохождения каждым выпускником государственной итоговой аттестации </w:t>
      </w:r>
      <w:r w:rsidR="00586368" w:rsidRPr="00C97227">
        <w:t>по четырехбалльной шкале (</w:t>
      </w:r>
      <w:r w:rsidR="00BC34FD" w:rsidRPr="00C97227">
        <w:t>«отлично», «хорошо», «удовлетворительно», «неудовлетворительно»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предусмотренных основной профессиональной образовательной программой высшего образования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lastRenderedPageBreak/>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применять нормы, регулирующие бюджетные, налоговые, валютные </w:t>
      </w:r>
      <w:r w:rsidRPr="00C97227">
        <w:rPr>
          <w:rFonts w:ascii="Times New Roman" w:hAnsi="Times New Roman" w:cs="Times New Roman"/>
          <w:sz w:val="24"/>
          <w:szCs w:val="24"/>
        </w:rPr>
        <w:lastRenderedPageBreak/>
        <w:t>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имеющего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правилах оформления письменных работ и отчётов обучающихся (</w:t>
      </w:r>
      <w:hyperlink r:id="rId7" w:history="1">
        <w:r w:rsidR="00B344F4">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C97227" w:rsidRDefault="00D50A05" w:rsidP="003B0F99">
      <w:pPr>
        <w:spacing w:line="276" w:lineRule="auto"/>
        <w:ind w:firstLine="740"/>
        <w:contextualSpacing/>
      </w:pPr>
      <w:r w:rsidRPr="00C97227">
        <w:t xml:space="preserve">В этом случае обучающийся подает заявление на имя заведующего выпускающей кафедрой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ad"/>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ad"/>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расположенных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lastRenderedPageBreak/>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ad"/>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ad"/>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C97227" w:rsidRDefault="00883B52" w:rsidP="003B0F99">
      <w:pPr>
        <w:pStyle w:val="ad"/>
        <w:spacing w:before="0" w:beforeAutospacing="0" w:after="0" w:afterAutospacing="0" w:line="276" w:lineRule="auto"/>
        <w:ind w:firstLine="708"/>
        <w:jc w:val="both"/>
      </w:pPr>
      <w:r w:rsidRPr="00C9722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C97227" w:rsidRDefault="00883B52" w:rsidP="003B0F99">
      <w:pPr>
        <w:pStyle w:val="ad"/>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ad"/>
        <w:spacing w:before="0" w:beforeAutospacing="0" w:after="0" w:afterAutospacing="0" w:line="276" w:lineRule="auto"/>
        <w:ind w:firstLine="708"/>
        <w:jc w:val="both"/>
      </w:pPr>
      <w:r w:rsidRPr="00C9722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C97227" w:rsidRDefault="00883B52" w:rsidP="003B0F99">
      <w:pPr>
        <w:pStyle w:val="ad"/>
        <w:spacing w:before="0" w:beforeAutospacing="0" w:after="0" w:afterAutospacing="0" w:line="276" w:lineRule="auto"/>
        <w:ind w:firstLine="708"/>
        <w:jc w:val="both"/>
      </w:pPr>
      <w:r w:rsidRPr="00C9722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ad"/>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результаты выполненной работы.</w:t>
      </w:r>
    </w:p>
    <w:p w:rsidR="00883B52" w:rsidRPr="00C97227" w:rsidRDefault="00883B52" w:rsidP="003B0F99">
      <w:pPr>
        <w:pStyle w:val="ad"/>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ad"/>
        <w:spacing w:before="0" w:beforeAutospacing="0" w:after="0" w:afterAutospacing="0" w:line="276" w:lineRule="auto"/>
        <w:jc w:val="both"/>
      </w:pPr>
      <w:r w:rsidRPr="00C97227">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ad"/>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ad"/>
        <w:spacing w:before="0" w:beforeAutospacing="0" w:after="0" w:afterAutospacing="0" w:line="276" w:lineRule="auto"/>
        <w:jc w:val="both"/>
      </w:pPr>
      <w:r w:rsidRPr="00C9722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C97227" w:rsidRDefault="00883B52" w:rsidP="003B0F99">
      <w:pPr>
        <w:pStyle w:val="ad"/>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ad"/>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проведенного анализа.</w:t>
      </w:r>
    </w:p>
    <w:p w:rsidR="00883B52" w:rsidRPr="00C97227" w:rsidRDefault="00883B52" w:rsidP="003B0F99">
      <w:pPr>
        <w:pStyle w:val="ad"/>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 xml:space="preserve">научно-педагогических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(консультанты).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выпускающей кафедрой;</w:t>
      </w:r>
    </w:p>
    <w:p w:rsidR="00D50A05" w:rsidRPr="00C97227" w:rsidRDefault="00D50A05" w:rsidP="00757E03">
      <w:pPr>
        <w:widowControl w:val="0"/>
        <w:numPr>
          <w:ilvl w:val="0"/>
          <w:numId w:val="1"/>
        </w:numPr>
        <w:spacing w:line="276" w:lineRule="auto"/>
        <w:ind w:firstLine="740"/>
        <w:contextualSpacing/>
        <w:jc w:val="both"/>
      </w:pPr>
      <w:r w:rsidRPr="00C97227">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со</w:t>
      </w:r>
      <w:r w:rsidRPr="00C97227">
        <w:lastRenderedPageBreak/>
        <w:t>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предоставляются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lastRenderedPageBreak/>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B344F4">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оригинальности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C97227" w:rsidRDefault="000F3E5F" w:rsidP="003B0F99">
      <w:pPr>
        <w:spacing w:line="276" w:lineRule="auto"/>
        <w:ind w:firstLine="420"/>
        <w:jc w:val="both"/>
      </w:pPr>
      <w:r w:rsidRPr="00C97227">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темой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четырехбалльной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C9722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Уровень сформированности компетенций выпускника </w:t>
      </w:r>
      <w:r w:rsidR="00A27147" w:rsidRPr="00C9722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lastRenderedPageBreak/>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Оцениваемые элементы содержания и защиты ВКР, а также портфолио выпускника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оцениваемого элемента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Оцениваемые компетенции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сформированности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неубедительно, общими, декларативными утверждениями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Теоретико-методологические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заменен общей ха</w:t>
            </w:r>
            <w:r w:rsidRPr="00C97227">
              <w:rPr>
                <w:rFonts w:eastAsia="Calibri"/>
              </w:rPr>
              <w:lastRenderedPageBreak/>
              <w:t xml:space="preserve">рактеристикой научных публикаций по теме ВКР </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вторичного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соотносимые с целями, задачами и положениями, выносимыми на защиту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C97227" w:rsidRDefault="00421BC2" w:rsidP="00E64343">
            <w:r w:rsidRPr="00C97227">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C97227">
              <w:softHyphen/>
              <w:t>блем, связанных с темой исследования.</w:t>
            </w:r>
          </w:p>
          <w:p w:rsidR="00421BC2" w:rsidRPr="00C97227" w:rsidRDefault="00421BC2" w:rsidP="00E64343">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основной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C97227" w:rsidRDefault="00421BC2" w:rsidP="00E64343">
            <w:r w:rsidRPr="00C97227">
              <w:t>Выпускник демонстрирует знание основной профессиональной терминологии, но не всегда корректно её использует.</w:t>
            </w:r>
          </w:p>
          <w:p w:rsidR="00421BC2" w:rsidRPr="00C97227" w:rsidRDefault="00421BC2" w:rsidP="00E64343">
            <w:r w:rsidRPr="00C97227">
              <w:t xml:space="preserve">Выпускник проявил базовый уровень знания и понимания теоретических проблем, связанных с </w:t>
            </w:r>
            <w:r w:rsidRPr="00C97227">
              <w:lastRenderedPageBreak/>
              <w:t>темой исследования, имеет общее представление о практических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презентация слабо структурированы, не выделены акценты, недостаточно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не соответствует нормам русского языка.</w:t>
            </w:r>
          </w:p>
          <w:p w:rsidR="00421BC2" w:rsidRPr="00C97227" w:rsidRDefault="00421BC2" w:rsidP="00E64343">
            <w:r w:rsidRPr="00C97227">
              <w:t>Выпускник не демонстрирует знание профессиональной терминологии.</w:t>
            </w:r>
          </w:p>
          <w:p w:rsidR="00421BC2" w:rsidRPr="00C97227" w:rsidRDefault="00421BC2" w:rsidP="00E64343">
            <w:r w:rsidRPr="00C97227">
              <w:t>Выпускник не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выпускника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t>ПК-23</w:t>
            </w:r>
          </w:p>
          <w:p w:rsidR="00421BC2" w:rsidRPr="00C97227" w:rsidRDefault="00421BC2" w:rsidP="00E64343">
            <w:pPr>
              <w:rPr>
                <w:rFonts w:eastAsia="Calibri"/>
              </w:rPr>
            </w:pPr>
          </w:p>
        </w:tc>
        <w:tc>
          <w:tcPr>
            <w:tcW w:w="1222" w:type="pct"/>
          </w:tcPr>
          <w:p w:rsidR="00421BC2" w:rsidRPr="00C97227" w:rsidRDefault="00421BC2" w:rsidP="00E64343">
            <w:r w:rsidRPr="00C97227">
              <w:t>Даны полные, развернутые ответы на заданные вопросы;</w:t>
            </w:r>
          </w:p>
          <w:p w:rsidR="00421BC2" w:rsidRPr="00C97227" w:rsidRDefault="00421BC2" w:rsidP="00E64343">
            <w:r w:rsidRPr="00C97227">
              <w:t>Ответы четко структурированы, выстроены в логической последовательности;</w:t>
            </w:r>
          </w:p>
          <w:p w:rsidR="00421BC2" w:rsidRPr="00C97227" w:rsidRDefault="00421BC2" w:rsidP="00E64343">
            <w:r w:rsidRPr="00C97227">
              <w:t>На все дополнительные вопросы даны четкие, аргументированные ответы;</w:t>
            </w:r>
          </w:p>
          <w:p w:rsidR="00421BC2" w:rsidRPr="00C97227" w:rsidRDefault="00421BC2" w:rsidP="00E64343">
            <w:r w:rsidRPr="00C97227">
              <w:t>Обучающийся умеет объяснять закономерности и иллю</w:t>
            </w:r>
            <w:r w:rsidRPr="00C97227">
              <w:lastRenderedPageBreak/>
              <w:t>стрировать их примерами из жизни, показывает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вопросов (за исключением одного - двух) даны полные, развернутые ответы на заданные вопросы;</w:t>
            </w:r>
          </w:p>
          <w:p w:rsidR="00421BC2" w:rsidRPr="00C97227" w:rsidRDefault="00421BC2" w:rsidP="00E64343">
            <w:r w:rsidRPr="00C97227">
              <w:t>Ответы в основном четко структурированы, выстроены в логической последовательности</w:t>
            </w:r>
          </w:p>
          <w:p w:rsidR="00421BC2" w:rsidRPr="00C97227" w:rsidRDefault="00421BC2" w:rsidP="00E64343">
            <w:r w:rsidRPr="00C97227">
              <w:t>На большинство дополнительных вопросов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недостаточно развернутые ответы на заданные вопросы;</w:t>
            </w:r>
          </w:p>
          <w:p w:rsidR="00421BC2" w:rsidRPr="00C97227" w:rsidRDefault="00421BC2" w:rsidP="00E64343">
            <w:r w:rsidRPr="00C97227">
              <w:t>Ответы слабо структурированы, не выстроены в логической последовательности;</w:t>
            </w:r>
          </w:p>
          <w:p w:rsidR="00421BC2" w:rsidRPr="00C97227" w:rsidRDefault="00421BC2" w:rsidP="00E64343">
            <w:r w:rsidRPr="00C97227">
              <w:t>На дополнительные вопросы даны краткие, слабо аргументированные ответы;</w:t>
            </w:r>
          </w:p>
          <w:p w:rsidR="00421BC2" w:rsidRPr="00C97227" w:rsidRDefault="00421BC2" w:rsidP="00E64343">
            <w:pPr>
              <w:rPr>
                <w:rFonts w:eastAsia="Calibri"/>
              </w:rPr>
            </w:pPr>
            <w:r w:rsidRPr="00C9722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за</w:t>
            </w:r>
            <w:r w:rsidRPr="00C97227">
              <w:lastRenderedPageBreak/>
              <w:t>данных вопросов ответы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закономерности и иллюстрировать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lastRenderedPageBreak/>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учебной, научной и внеучебной деятельности выпускника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w:t>
            </w:r>
            <w:r w:rsidRPr="00C97227">
              <w:rPr>
                <w:rFonts w:eastAsia="Calibri"/>
              </w:rPr>
              <w:lastRenderedPageBreak/>
              <w:t>формировались указанные общекультурные компетенции - в  основном «хорошо»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C97227">
        <w:rPr>
          <w:shd w:val="clear" w:color="auto" w:fill="FCFCFC"/>
        </w:rPr>
        <w:t xml:space="preserve"> .— Режим доступа: </w:t>
      </w:r>
      <w:hyperlink r:id="rId10" w:history="1">
        <w:r w:rsidR="00B344F4">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B344F4">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978-5-93926-305-4. — Режим доступа: </w:t>
      </w:r>
      <w:hyperlink r:id="rId12" w:history="1">
        <w:r w:rsidR="00B344F4">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3" w:history="1">
        <w:r w:rsidR="00B344F4">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2227-8397. — Режим доступа: </w:t>
      </w:r>
      <w:hyperlink r:id="rId14" w:history="1">
        <w:r w:rsidR="00B344F4">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5" w:history="1">
        <w:r w:rsidR="00B344F4">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6" w:history="1">
        <w:r w:rsidR="00B344F4">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7" w:history="1">
        <w:r w:rsidR="00B344F4">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C97227">
        <w:rPr>
          <w:rFonts w:ascii="Times New Roman" w:hAnsi="Times New Roman"/>
          <w:sz w:val="24"/>
          <w:szCs w:val="24"/>
          <w:shd w:val="clear" w:color="auto" w:fill="FCFCFC"/>
        </w:rPr>
        <w:t xml:space="preserve"> Режим доступа:</w:t>
      </w:r>
      <w:hyperlink r:id="rId18" w:history="1">
        <w:r w:rsidR="00B344F4">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w:t>
      </w:r>
      <w:r w:rsidRPr="00C97227">
        <w:rPr>
          <w:rFonts w:ascii="Times New Roman" w:hAnsi="Times New Roman" w:cs="Times New Roman"/>
          <w:sz w:val="24"/>
          <w:szCs w:val="24"/>
          <w:shd w:val="clear" w:color="auto" w:fill="FCFCFC"/>
        </w:rPr>
        <w:lastRenderedPageBreak/>
        <w:t xml:space="preserve">Электрон. текстовые данные. — М. : ЮНИТИ-ДАНА, 2015. — 235 c. — 978-5-238-02451-6. — Режим доступа: </w:t>
      </w:r>
      <w:hyperlink r:id="rId19" w:history="1">
        <w:r w:rsidR="00B344F4">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B344F4">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B344F4">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B344F4">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B344F4">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B344F4">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B344F4">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B344F4">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DA703F">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B344F4">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B344F4">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B344F4">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B344F4">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B344F4">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B344F4">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B344F4">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«Интернет»,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электронных библиотечных систем и электронным образовательным ресурсам,</w:t>
      </w:r>
      <w:r w:rsidRPr="00C97227">
        <w:rPr>
          <w:rFonts w:eastAsia="Calibri"/>
        </w:rPr>
        <w:t xml:space="preserve"> </w:t>
      </w:r>
      <w:r w:rsidRPr="00C97227">
        <w:t>указанным в рабочих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проведение всех 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формирование электронного портфолио обучающегося, в том числе сохранение</w:t>
      </w:r>
      <w:r w:rsidRPr="00C97227">
        <w:rPr>
          <w:rFonts w:eastAsia="Calibri"/>
        </w:rPr>
        <w:t xml:space="preserve"> </w:t>
      </w:r>
      <w:r w:rsidRPr="00C97227">
        <w:t>работ обучающегося, рецензий и оценок на эти работы со стороны любых участников</w:t>
      </w:r>
      <w:r w:rsidRPr="00C97227">
        <w:rPr>
          <w:rFonts w:eastAsia="Calibri"/>
        </w:rPr>
        <w:t xml:space="preserve"> </w:t>
      </w:r>
      <w:r w:rsidRPr="00C97227">
        <w:t>образовательного про</w:t>
      </w:r>
      <w:r w:rsidRPr="00C97227">
        <w:lastRenderedPageBreak/>
        <w:t>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синхронное и (или) асинхронное взаимодействие посредством сети «Интернет».</w:t>
      </w:r>
    </w:p>
    <w:p w:rsidR="006F0181" w:rsidRPr="00C97227" w:rsidRDefault="006F0181" w:rsidP="003B0F99">
      <w:pPr>
        <w:pStyle w:val="ConsPlusNormal"/>
        <w:spacing w:line="276" w:lineRule="auto"/>
        <w:rPr>
          <w:rFonts w:ascii="Times New Roman" w:hAnsi="Times New Roman" w:cs="Times New Roman"/>
          <w:sz w:val="24"/>
          <w:szCs w:val="24"/>
          <w:lang w:val="en-US"/>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выполнения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задач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проблемного изложения теоретического материала;</w:t>
      </w:r>
    </w:p>
    <w:p w:rsidR="001F5C2E" w:rsidRPr="00C97227" w:rsidRDefault="001F5C2E" w:rsidP="001F5C2E">
      <w:pPr>
        <w:widowControl w:val="0"/>
        <w:ind w:firstLine="708"/>
        <w:jc w:val="both"/>
      </w:pPr>
      <w:r w:rsidRPr="00C97227">
        <w:t>– умение анализировать и применять справочную, нормативную и правовую документацию;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делать выводы и предложения;</w:t>
      </w:r>
    </w:p>
    <w:p w:rsidR="001F5C2E" w:rsidRPr="00C97227" w:rsidRDefault="001F5C2E" w:rsidP="001F5C2E">
      <w:pPr>
        <w:widowControl w:val="0"/>
        <w:ind w:firstLine="708"/>
        <w:jc w:val="both"/>
      </w:pPr>
      <w:r w:rsidRPr="00C97227">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Выполнение работы должно носить исследовательский характер и отличаться новиз</w:t>
      </w:r>
      <w:r w:rsidRPr="00C97227">
        <w:lastRenderedPageBreak/>
        <w:t xml:space="preserve">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платформе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аттестации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следующие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аналитической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703F">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703F">
          <w:rPr>
            <w:rStyle w:val="a5"/>
            <w:color w:val="auto"/>
          </w:rPr>
          <w:t>www.biblio-online.ru</w:t>
        </w:r>
      </w:hyperlink>
      <w:r w:rsidRPr="00C97227">
        <w:t xml:space="preserve">. </w:t>
      </w:r>
    </w:p>
    <w:p w:rsidR="00253F2C" w:rsidRPr="00C97227" w:rsidRDefault="00253F2C" w:rsidP="00253F2C">
      <w:pPr>
        <w:ind w:firstLine="709"/>
        <w:jc w:val="both"/>
      </w:pPr>
      <w:r w:rsidRPr="00C97227">
        <w:t xml:space="preserve">3. Для проведения защиты ВКР: учебные аудитории материально-техническое оснащение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материалы. </w:t>
      </w:r>
      <w:r w:rsidRPr="00C97227">
        <w:rPr>
          <w:shd w:val="clear" w:color="auto" w:fill="FFFFFF"/>
        </w:rPr>
        <w:t>Столы аудиторные, стол преподавательский, стулья аудиторные, стул преподавательский,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квалификационной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письменной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7227">
        <w:t>эти</w:t>
      </w:r>
      <w:r w:rsidRPr="00C9722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722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подлежит.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ad"/>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 xml:space="preserve">зав. кафедрой </w:t>
      </w:r>
      <w:r w:rsidRPr="00C97227">
        <w:rPr>
          <w:sz w:val="28"/>
          <w:szCs w:val="28"/>
          <w:lang w:val="ru-RU"/>
        </w:rPr>
        <w:t xml:space="preserve">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B344F4" w:rsidP="00253F2C">
      <w:pPr>
        <w:shd w:val="clear" w:color="auto" w:fill="FFFFFF"/>
        <w:ind w:left="5103" w:right="-1" w:firstLine="460"/>
        <w:jc w:val="both"/>
        <w:rPr>
          <w:spacing w:val="-11"/>
        </w:rPr>
      </w:pPr>
      <w:r>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f"/>
        <w:jc w:val="center"/>
      </w:pPr>
      <w:r w:rsidRPr="00C97227">
        <w:t>____________________________________________</w:t>
      </w:r>
    </w:p>
    <w:p w:rsidR="00253F2C" w:rsidRPr="00C97227" w:rsidRDefault="00253F2C" w:rsidP="00253F2C">
      <w:pPr>
        <w:pStyle w:val="af"/>
        <w:jc w:val="center"/>
      </w:pPr>
      <w:r w:rsidRPr="00C97227">
        <w:t>Фамилия, Имя, Отчество студента (-ки)</w:t>
      </w:r>
    </w:p>
    <w:p w:rsidR="00253F2C" w:rsidRPr="00C97227" w:rsidRDefault="00253F2C" w:rsidP="00253F2C">
      <w:pPr>
        <w:pStyle w:val="af"/>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f"/>
        <w:jc w:val="both"/>
      </w:pPr>
      <w:r w:rsidRPr="00C97227">
        <w:t>Исходные данные по работе: _________________________________________</w:t>
      </w:r>
    </w:p>
    <w:p w:rsidR="00253F2C" w:rsidRPr="00C97227" w:rsidRDefault="00253F2C" w:rsidP="00253F2C">
      <w:pPr>
        <w:pStyle w:val="af"/>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f"/>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1.</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2.</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3.</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4.</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5.</w:t>
            </w:r>
          </w:p>
        </w:tc>
        <w:tc>
          <w:tcPr>
            <w:tcW w:w="9320" w:type="dxa"/>
            <w:vAlign w:val="center"/>
          </w:tcPr>
          <w:p w:rsidR="00253F2C" w:rsidRPr="00C97227" w:rsidRDefault="00253F2C" w:rsidP="00670A1B">
            <w:pPr>
              <w:pStyle w:val="af"/>
              <w:jc w:val="center"/>
            </w:pPr>
          </w:p>
        </w:tc>
      </w:tr>
    </w:tbl>
    <w:p w:rsidR="00253F2C" w:rsidRPr="00C97227" w:rsidRDefault="00253F2C" w:rsidP="00253F2C">
      <w:pPr>
        <w:pStyle w:val="af"/>
        <w:jc w:val="both"/>
      </w:pPr>
    </w:p>
    <w:p w:rsidR="00253F2C" w:rsidRPr="00C97227" w:rsidRDefault="00253F2C" w:rsidP="00253F2C">
      <w:pPr>
        <w:pStyle w:val="af"/>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 xml:space="preserve">Представление теоретической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 xml:space="preserve">Представление практической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ad"/>
        <w:spacing w:after="0" w:line="384" w:lineRule="atLeast"/>
        <w:jc w:val="center"/>
      </w:pPr>
      <w:r w:rsidRPr="00C97227">
        <w:rPr>
          <w:sz w:val="28"/>
          <w:szCs w:val="28"/>
        </w:rPr>
        <w:br w:type="page"/>
      </w:r>
      <w:r w:rsidR="00AC3D6D" w:rsidRPr="00C97227">
        <w:rPr>
          <w:sz w:val="28"/>
          <w:szCs w:val="28"/>
          <w:lang w:val="ru-RU"/>
        </w:rPr>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lang w:val="ru-RU"/>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ad"/>
        <w:shd w:val="clear" w:color="auto" w:fill="FFFFFF"/>
        <w:jc w:val="both"/>
      </w:pPr>
    </w:p>
    <w:p w:rsidR="006F7DC3" w:rsidRPr="00C97227" w:rsidRDefault="006F7DC3" w:rsidP="006F7DC3">
      <w:pPr>
        <w:pStyle w:val="ad"/>
        <w:shd w:val="clear" w:color="auto" w:fill="FFFFFF"/>
        <w:jc w:val="both"/>
        <w:rPr>
          <w:rStyle w:val="af0"/>
          <w:b w:val="0"/>
        </w:rPr>
      </w:pPr>
      <w:r w:rsidRPr="00C97227">
        <w:t xml:space="preserve">Ознакомлен:  </w:t>
      </w:r>
      <w:r w:rsidRPr="00C97227">
        <w:rPr>
          <w:rStyle w:val="af0"/>
          <w:b w:val="0"/>
        </w:rPr>
        <w:t>_______________________/</w:t>
      </w:r>
      <w:r w:rsidRPr="00C97227">
        <w:rPr>
          <w:bCs/>
        </w:rPr>
        <w:t>ФИО студента.</w:t>
      </w:r>
      <w:r w:rsidRPr="00C97227">
        <w:rPr>
          <w:b/>
          <w:bCs/>
        </w:rPr>
        <w:t xml:space="preserve">/   </w:t>
      </w:r>
      <w:r w:rsidRPr="00C97227">
        <w:rPr>
          <w:rStyle w:val="af0"/>
          <w:b w:val="0"/>
        </w:rPr>
        <w:t xml:space="preserve"> «_____» __________ 201__ г.</w:t>
      </w:r>
    </w:p>
    <w:p w:rsidR="006F7DC3" w:rsidRPr="00C97227" w:rsidRDefault="006F7DC3" w:rsidP="006F7DC3">
      <w:pPr>
        <w:pStyle w:val="ad"/>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ad"/>
        <w:shd w:val="clear" w:color="auto" w:fill="FFFFFF"/>
        <w:jc w:val="center"/>
        <w:rPr>
          <w:caps/>
          <w:lang w:val="ru-RU"/>
        </w:rPr>
      </w:pPr>
    </w:p>
    <w:p w:rsidR="00AC3D6D" w:rsidRPr="00C97227" w:rsidRDefault="00AC3D6D" w:rsidP="00DE70E9">
      <w:pPr>
        <w:pStyle w:val="ad"/>
        <w:shd w:val="clear" w:color="auto" w:fill="FFFFFF"/>
        <w:jc w:val="center"/>
        <w:rPr>
          <w:caps/>
          <w:lang w:val="ru-RU"/>
        </w:rPr>
      </w:pPr>
    </w:p>
    <w:p w:rsidR="00AC3D6D" w:rsidRPr="00C97227" w:rsidRDefault="00AC3D6D" w:rsidP="00AC3D6D">
      <w:pPr>
        <w:pStyle w:val="ad"/>
        <w:shd w:val="clear" w:color="auto" w:fill="FFFFFF"/>
        <w:jc w:val="center"/>
        <w:rPr>
          <w:lang w:val="ru-RU"/>
        </w:rPr>
      </w:pP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t>Приложение</w:t>
      </w:r>
      <w:r w:rsidRPr="00C97227">
        <w:rPr>
          <w:lang w:val="ru-RU"/>
        </w:rPr>
        <w:t xml:space="preserve">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повышения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5"/>
          <w:b w:val="0"/>
          <w:bCs w:val="0"/>
          <w:sz w:val="28"/>
          <w:szCs w:val="28"/>
        </w:rPr>
      </w:pPr>
      <w:r w:rsidRPr="00C97227">
        <w:rPr>
          <w:rStyle w:val="af5"/>
          <w:b w:val="0"/>
          <w:sz w:val="28"/>
          <w:szCs w:val="28"/>
        </w:rPr>
        <w:t>Оценка эффективности расходования бюджетных средств в отраслях экономики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Реформирование системы пенсионного обеспечения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деятельности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(местных)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доходов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автотранспортных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укрепления.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финансовых результатов деятельности страховщика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уровнях)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Особенности и развитие банковского кредитования организаций (на примере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менеджмента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лицами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банковских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бизнеса.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реализации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пластиковых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(кризисного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угрозе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кредитования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анализа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инвестициями в предприятии: современное состояние,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сотрудничества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кредитования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AC3D6D" w:rsidRPr="00C97227" w:rsidRDefault="00AC3D6D" w:rsidP="00AC3D6D">
      <w:pPr>
        <w:pStyle w:val="ad"/>
        <w:numPr>
          <w:ilvl w:val="0"/>
          <w:numId w:val="31"/>
        </w:numPr>
        <w:shd w:val="clear" w:color="auto" w:fill="FFFFFF"/>
        <w:tabs>
          <w:tab w:val="clear" w:pos="690"/>
          <w:tab w:val="num" w:pos="284"/>
        </w:tabs>
        <w:ind w:left="0" w:firstLine="0"/>
        <w:jc w:val="both"/>
        <w:rPr>
          <w:caps/>
          <w:lang w:val="ru-RU"/>
        </w:rPr>
      </w:pPr>
      <w:r w:rsidRPr="00C97227">
        <w:rPr>
          <w:sz w:val="28"/>
          <w:szCs w:val="28"/>
        </w:rPr>
        <w:t>Региональные особенности развития рынка ценных бумаг и направления его развития</w:t>
      </w:r>
      <w:r w:rsidRPr="00C97227">
        <w:rPr>
          <w:sz w:val="28"/>
          <w:szCs w:val="28"/>
          <w:lang w:val="ru-RU"/>
        </w:rPr>
        <w:t xml:space="preserve">. </w:t>
      </w:r>
    </w:p>
    <w:p w:rsidR="00AC3D6D" w:rsidRPr="00C97227" w:rsidRDefault="00AC3D6D">
      <w:pPr>
        <w:pStyle w:val="ad"/>
        <w:shd w:val="clear" w:color="auto" w:fill="FFFFFF"/>
        <w:jc w:val="center"/>
        <w:rPr>
          <w:caps/>
          <w:lang w:val="ru-RU"/>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C37" w:rsidRDefault="00E96C37" w:rsidP="00A61462">
      <w:r>
        <w:separator/>
      </w:r>
    </w:p>
  </w:endnote>
  <w:endnote w:type="continuationSeparator" w:id="0">
    <w:p w:rsidR="00E96C37" w:rsidRDefault="00E96C3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9"/>
      <w:jc w:val="center"/>
    </w:pPr>
    <w:r>
      <w:fldChar w:fldCharType="begin"/>
    </w:r>
    <w:r>
      <w:instrText xml:space="preserve"> PAGE   \* MERGEFORMAT </w:instrText>
    </w:r>
    <w:r>
      <w:fldChar w:fldCharType="separate"/>
    </w:r>
    <w:r w:rsidR="006773E2">
      <w:rPr>
        <w:noProof/>
      </w:rPr>
      <w:t>30</w:t>
    </w:r>
    <w:r>
      <w:fldChar w:fldCharType="end"/>
    </w:r>
  </w:p>
  <w:p w:rsidR="0073145F" w:rsidRDefault="0073145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C37" w:rsidRDefault="00E96C37" w:rsidP="00A61462">
      <w:r>
        <w:separator/>
      </w:r>
    </w:p>
  </w:footnote>
  <w:footnote w:type="continuationSeparator" w:id="0">
    <w:p w:rsidR="00E96C37" w:rsidRDefault="00E96C3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D1BA2"/>
    <w:rsid w:val="000E0CA5"/>
    <w:rsid w:val="000F3E5F"/>
    <w:rsid w:val="001022C9"/>
    <w:rsid w:val="00115130"/>
    <w:rsid w:val="00117196"/>
    <w:rsid w:val="00130E82"/>
    <w:rsid w:val="00136A5B"/>
    <w:rsid w:val="00146694"/>
    <w:rsid w:val="001501F4"/>
    <w:rsid w:val="00150788"/>
    <w:rsid w:val="00155D4E"/>
    <w:rsid w:val="00157A5A"/>
    <w:rsid w:val="00163CAA"/>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773E2"/>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4EC7"/>
    <w:rsid w:val="0085750A"/>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D253E"/>
    <w:rsid w:val="009D4116"/>
    <w:rsid w:val="009D5FD7"/>
    <w:rsid w:val="009E2EAE"/>
    <w:rsid w:val="00A078A0"/>
    <w:rsid w:val="00A143F3"/>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344F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B702F"/>
    <w:rsid w:val="00CC43C6"/>
    <w:rsid w:val="00CC4D29"/>
    <w:rsid w:val="00CC5D7A"/>
    <w:rsid w:val="00CD25B9"/>
    <w:rsid w:val="00CE224E"/>
    <w:rsid w:val="00CF2815"/>
    <w:rsid w:val="00CF505B"/>
    <w:rsid w:val="00CF6E5D"/>
    <w:rsid w:val="00D01F96"/>
    <w:rsid w:val="00D04528"/>
    <w:rsid w:val="00D1045B"/>
    <w:rsid w:val="00D25742"/>
    <w:rsid w:val="00D318B2"/>
    <w:rsid w:val="00D32CC5"/>
    <w:rsid w:val="00D330C3"/>
    <w:rsid w:val="00D33775"/>
    <w:rsid w:val="00D3529A"/>
    <w:rsid w:val="00D4028C"/>
    <w:rsid w:val="00D50A05"/>
    <w:rsid w:val="00D51442"/>
    <w:rsid w:val="00D51992"/>
    <w:rsid w:val="00D550D5"/>
    <w:rsid w:val="00D61F66"/>
    <w:rsid w:val="00D67A11"/>
    <w:rsid w:val="00D75415"/>
    <w:rsid w:val="00D77073"/>
    <w:rsid w:val="00D81CCA"/>
    <w:rsid w:val="00D8525A"/>
    <w:rsid w:val="00DA5942"/>
    <w:rsid w:val="00DA67D0"/>
    <w:rsid w:val="00DA703F"/>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4921"/>
    <w:rsid w:val="00E956EC"/>
    <w:rsid w:val="00E96C37"/>
    <w:rsid w:val="00EA1F2F"/>
    <w:rsid w:val="00EB3216"/>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497D565-4FB9-4353-BE0D-9EF98C3E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7">
    <w:name w:val="header"/>
    <w:basedOn w:val="a"/>
    <w:link w:val="a8"/>
    <w:uiPriority w:val="99"/>
    <w:unhideWhenUsed/>
    <w:rsid w:val="00A61462"/>
    <w:pPr>
      <w:tabs>
        <w:tab w:val="center" w:pos="4677"/>
        <w:tab w:val="right" w:pos="9355"/>
      </w:tabs>
    </w:pPr>
    <w:rPr>
      <w:lang w:val="x-none" w:eastAsia="x-none"/>
    </w:r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rPr>
      <w:lang w:val="x-none" w:eastAsia="x-none"/>
    </w:r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5">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DA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12438</Words>
  <Characters>70900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83172</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2022-07-01T16:10:00Z</dcterms:created>
  <dcterms:modified xsi:type="dcterms:W3CDTF">2022-11-12T10:55:00Z</dcterms:modified>
</cp:coreProperties>
</file>